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8.pdf" ContentType="application/pdf"/>
  <Override PartName="/word/media/rId5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[Kentaro K. Shimizu?]</w:t>
      </w:r>
      <w:r>
        <w:rPr>
          <w:vertAlign w:val="superscript"/>
        </w:rPr>
        <w:t xml:space="preserve">2,3</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2,4†*</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Kihara Institute for Biological Research, Yokohama City University, Maioka 641-12, Totsuka-ward, Yokohama 244-0813, Japan</w:t>
      </w:r>
      <w:r>
        <w:br/>
      </w:r>
      <w:r>
        <w:rPr>
          <w:vertAlign w:val="superscript"/>
        </w:rPr>
        <w:t xml:space="preserve">4</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While such spatial heterogeneity was often treated as an environmental nuisance in quantitative genetics, underlying biotic factors and loci gain remain unexplored.</w:t>
      </w:r>
      <w:r>
        <w:t xml:space="preserve"> </w:t>
      </w:r>
      <w:r>
        <w:t xml:space="preserve">To quantify disease spatial variation and associate it with neighbor genotypes, we applied applied two methods, Spatial Analysis of Field Trials with Splines (SpATS) and Neighbor Genome-Wide Association Study (Neighbor GWAS), to barley cultivars.</w:t>
      </w:r>
      <w:r>
        <w:t xml:space="preserve"> </w:t>
      </w:r>
      <w:r>
        <w:t xml:space="preserve">Having compiled the CIMMYT Australia ICARDA Germplasm Evaluation (CAIGE) data, we first applied SpATS to three disease phenotypes such as the net form net blotch, spot form net blotch and scald damage scores.</w:t>
      </w:r>
      <w:r>
        <w:t xml:space="preserve"> </w:t>
      </w:r>
      <w:r>
        <w:t xml:space="preserve">This SpATS analysis showed that XX-YY% of total phenotypic variation in net blotch and scald symptoms was attributable to spatial processes along the rows and ranges of barley fields, thereby leading us to consider these spatial positions into further variance component analysis and GWAS.</w:t>
      </w:r>
      <w:r>
        <w:t xml:space="preserve"> </w:t>
      </w:r>
      <w:r>
        <w:t xml:space="preserve">We then applied the Neighbor GWAS model to further variance component analysis and found that xx-yy% variation was significantly explained by neighbor genotypic identity for the three disease phenotypes.</w:t>
      </w:r>
      <w:r>
        <w:t xml:space="preserve"> </w:t>
      </w:r>
      <w:r>
        <w:t xml:space="preserve">The Neighbor GWAS method further detected a relatively rare but significant variant that was located on the barley 7H chromosome and associated with neighbor genotypic influence on the net form net blotch.</w:t>
      </w:r>
      <w:r>
        <w:t xml:space="preserve"> </w:t>
      </w:r>
      <w:r>
        <w:t xml:space="preserve">This variant was estimated to have negative effects of the allelic similarity on disease damage, indicating that allelic mixtures at this locus could be avoided to prevent the spread of net form net blotch.</w:t>
      </w:r>
      <w:r>
        <w:t xml:space="preserve"> </w:t>
      </w:r>
      <w:r>
        <w:t xml:space="preserve">These findings suggest that neighbor genotype identity may be understudied but significant sources of spatial heterogeneity in pest damage to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w:t>
      </w:r>
      <w:r>
        <w:t xml:space="preserve"> </w:t>
      </w:r>
      <w:r>
        <w:t xml:space="preserve">While spatial heterogeneity has been considered a nuisance in plant breeding and quantitative genetics</w:t>
      </w:r>
      <w:r>
        <w:t xml:space="preserve"> </w:t>
      </w:r>
      <w:r>
        <w:t xml:space="preserve">(Rodríguez-Álvarez</w:t>
      </w:r>
      <w:r>
        <w:t xml:space="preserve"> </w:t>
      </w:r>
      <w:r>
        <w:rPr>
          <w:iCs/>
          <w:i/>
        </w:rPr>
        <w:t xml:space="preserve">et al.</w:t>
      </w:r>
      <w:r>
        <w:t xml:space="preserve"> </w:t>
      </w:r>
      <w:r>
        <w:t xml:space="preserve">2018)</w:t>
      </w:r>
      <w:r>
        <w:t xml:space="preserve">, it could be explained by biotic interactions.</w:t>
      </w:r>
      <w:r>
        <w:t xml:space="preserve"> </w:t>
      </w:r>
      <w:r>
        <w:t xml:space="preserve">For example, neighbor genotypes are one of biotic factors that can shape spatial heterogeneity of pest damage. Plant-plant interactions in basic biology. Interplot interference in agricultural practice.</w:t>
      </w:r>
    </w:p>
    <w:p>
      <w:pPr>
        <w:pStyle w:val="BodyText"/>
      </w:pPr>
      <w:r>
        <w:t xml:space="preserve">Disease infection represents a trait that exhibits considerable spatial variation in important field crops. For instance, barley is infected by many fungal diseases such as xxx, yyy, zzz. These fungal diseases develop in xxx days and spread out spores across a field (xx and yy). When resistant and susceptible cultivars are grown in a proximity, patterns of spore spreading and resultant infection could be spatially heterogeneous due to neighboring genotypes as well as stochastic dispersal. While spatial patterns are well studied</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t xml:space="preserve">To analyze the effects of neighboring genotypes on individual traits, we have recently developed a new method of GWAS, called</w:t>
      </w:r>
      <w:r>
        <w:t xml:space="preserve"> </w:t>
      </w:r>
      <w:r>
        <w:t xml:space="preserve">“</w:t>
      </w:r>
      <w:r>
        <w:t xml:space="preserve">Neighbor GWAS</w:t>
      </w:r>
      <w:r>
        <w:t xml:space="preserve">”</w:t>
      </w:r>
      <w:r>
        <w:t xml:space="preserve">”</w:t>
      </w:r>
      <w:r>
        <w:t xml:space="preserve"> </w:t>
      </w:r>
      <w:r>
        <w:t xml:space="preserve">(Sato</w:t>
      </w:r>
      <w:r>
        <w:t xml:space="preserve"> </w:t>
      </w:r>
      <w:r>
        <w:rPr>
          <w:iCs/>
          <w:i/>
        </w:rPr>
        <w:t xml:space="preserve">et al.</w:t>
      </w:r>
      <w:r>
        <w:t xml:space="preserve"> </w:t>
      </w:r>
      <w:r>
        <w:t xml:space="preserve">2021)</w:t>
      </w:r>
      <w:r>
        <w:t xml:space="preserve">. Neighbor GWAS employs xxx. However, there are other factors xxx.</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CAIGE project in Australia.</w:t>
      </w:r>
    </w:p>
    <w:bookmarkEnd w:id="22"/>
    <w:bookmarkStart w:id="31"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w:t>
      </w:r>
      <w:r>
        <w:t xml:space="preserve"> </w:t>
      </w:r>
      <w:r>
        <w:t xml:space="preserve">- response variable</w:t>
      </w:r>
      <w:r>
        <w:br/>
      </w:r>
      <w:r>
        <w:t xml:space="preserve">- covariates</w:t>
      </w:r>
    </w:p>
    <w:p>
      <w:pPr>
        <w:pStyle w:val="BodyText"/>
      </w:pPr>
      <w:r>
        <w:t xml:space="preserve">For this line of spatial genetic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p>
    <w:bookmarkEnd w:id="25"/>
    <w:bookmarkStart w:id="30"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p>
    <w:p>
      <w:pPr>
        <w:pStyle w:val="BodyText"/>
      </w:pPr>
      <m:oMathPara>
        <m:oMathParaPr>
          <m:jc m:val="center"/>
        </m:oMathParaP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r>
            <m:t> </m:t>
          </m:r>
          <m:r>
            <m:t> </m:t>
          </m:r>
          <m:r>
            <m:t> </m:t>
          </m:r>
          <m:r>
            <m:t> </m:t>
          </m:r>
          <m:r>
            <m:t> </m:t>
          </m:r>
          <m:r>
            <m:rPr>
              <m:nor/>
              <m:sty m:val="p"/>
            </m:rPr>
            <m:t>Eq. 2</m:t>
          </m:r>
        </m:oMath>
      </m:oMathPara>
    </w:p>
    <w:p>
      <w:pPr>
        <w:pStyle w:val="FirstParagraph"/>
      </w:pPr>
      <w:r>
        <w:t xml:space="preserve">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summary,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w:t>
      </w:r>
      <w:r>
        <w:t xml:space="preserve"> </w:t>
      </w:r>
      <w:r>
        <w:t xml:space="preserve">The former is a standard criterion in plant GWAS (e.g., ) while the latter includes relatively rare variants</w:t>
      </w:r>
      <w:r>
        <w:t xml:space="preserve"> </w:t>
      </w:r>
      <w:r>
        <w:t xml:space="preserve">(e.g., Xu</w:t>
      </w:r>
      <w:r>
        <w:t xml:space="preserve"> </w:t>
      </w:r>
      <w:r>
        <w:rPr>
          <w:iCs/>
          <w:i/>
        </w:rPr>
        <w:t xml:space="preserve">et al.</w:t>
      </w:r>
      <w:r>
        <w:t xml:space="preserve"> </w:t>
      </w:r>
      <w:r>
        <w:t xml:space="preserve">2023)</w:t>
      </w:r>
      <w:r>
        <w:t xml:space="preserve">, leaving approx. 20,578 and 14,568 SNPs, respectively (Table 1).</w:t>
      </w:r>
      <w:r>
        <w:t xml:space="preserve"> </w:t>
      </w:r>
      <w:r>
        <w:t xml:space="preserve">The damage severity score (from 0 to</w:t>
      </w:r>
      <w:r>
        <w:t xml:space="preserve"> </w:t>
      </w:r>
      <w:r>
        <w:rPr>
          <w:bCs/>
          <w:b/>
        </w:rPr>
        <w:t xml:space="preserve">X</w:t>
      </w:r>
      <w:r>
        <w:t xml:space="preserve">)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The difference of the three study years (2015, 2016, and 2017) was considered non-genetic covariates.</w:t>
      </w:r>
      <w:r>
        <w:t xml:space="preserve"> </w:t>
      </w:r>
      <w:r>
        <w:t xml:space="preserve">Regarding the spatial range to be referred, we analyzed up to</w:t>
      </w:r>
      <w:r>
        <w:t xml:space="preserve"> </w:t>
      </w:r>
      <w:r>
        <w:rPr>
          <w:bCs/>
          <w:b/>
        </w:rPr>
        <w:t xml:space="preserve">xxx</w:t>
      </w:r>
      <w:r>
        <w:t xml:space="preserve"> </w:t>
      </w:r>
      <w:r>
        <w:t xml:space="preserve">nearest neighbors in a field, which corresponds up to 4.2 Euclidian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To address such a co-linearity, likelihood ratio tests were performed for x and y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29"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and 2)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p>
    <w:bookmarkEnd w:id="29"/>
    <w:bookmarkEnd w:id="30"/>
    <w:bookmarkEnd w:id="31"/>
    <w:bookmarkStart w:id="35" w:name="results"/>
    <w:p>
      <w:pPr>
        <w:pStyle w:val="Heading1"/>
      </w:pPr>
      <w:r>
        <w:t xml:space="preserve">Results</w:t>
      </w:r>
    </w:p>
    <w:bookmarkStart w:id="32" w:name="X576536956dd33d8c2a69307df5026af523ebb8d"/>
    <w:p>
      <w:pPr>
        <w:pStyle w:val="Heading2"/>
      </w:pPr>
      <w:r>
        <w:t xml:space="preserve">Spatial heterogeneity of disease infection</w:t>
      </w:r>
    </w:p>
    <w:p>
      <w:pPr>
        <w:pStyle w:val="FirstParagraph"/>
      </w:pPr>
      <w:r>
        <w:t xml:space="preserve">We used SpATS to quantify spatial variation in the three disease phenotypes — namely, net form net blotch, spot form net blotch, and scald — in barley.</w:t>
      </w:r>
    </w:p>
    <w:p>
      <w:pPr>
        <w:numPr>
          <w:ilvl w:val="0"/>
          <w:numId w:val="1001"/>
        </w:numPr>
        <w:pStyle w:val="Compact"/>
      </w:pPr>
      <w:r>
        <w:t xml:space="preserve">describe results</w:t>
      </w:r>
    </w:p>
    <w:p>
      <w:pPr>
        <w:pStyle w:val="FirstParagraph"/>
      </w:pPr>
      <w:r>
        <w:t xml:space="preserve">These results showed that a substantial spatial heterogeneity of disease infection was unexplained by plants’ own genotypes and thus left a room to be explained by neighboring genotypes.</w:t>
      </w:r>
    </w:p>
    <w:bookmarkEnd w:id="32"/>
    <w:bookmarkStart w:id="33"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r>
        <w:t xml:space="preserve"> </w:t>
      </w:r>
      <w:r>
        <w:t xml:space="preserve">All the three phenotypes of disease infection had a significant SNP heritability regarding plant’s own genotypic effects (blue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More remarkably, we found significant contributions of neighbor genotypes to all the three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Specifically,</w:t>
      </w:r>
      <w:r>
        <w:t xml:space="preserve"> </w:t>
      </w:r>
      <w:r>
        <w:rPr>
          <w:bCs/>
          <w:b/>
        </w:rPr>
        <w:t xml:space="preserve">describe the results of each phenotype one-by-one</w:t>
      </w:r>
      <w:r>
        <w:t xml:space="preserve">.</w:t>
      </w:r>
      <w:r>
        <w:t xml:space="preserve"> </w:t>
      </w:r>
      <w:r>
        <w:t xml:space="preserve">The similar patterns were found even when the cut-off value of MAF was changed to 0.05 (Table SX).</w:t>
      </w:r>
      <w:r>
        <w:t xml:space="preserve"> </w:t>
      </w:r>
      <w:r>
        <w:t xml:space="preserve">These PVE analyses showed that a significant fraction of spatial heterogeneity of net blotch susceptibility was attributable to neighbor genotypic identity, which led us to further ask whether this significant variation could be explained by major-effect loci.</w:t>
      </w:r>
    </w:p>
    <w:bookmarkEnd w:id="33"/>
    <w:bookmarkStart w:id="34" w:name="genome-wide-association-study"/>
    <w:p>
      <w:pPr>
        <w:pStyle w:val="Heading2"/>
      </w:pPr>
      <w:r>
        <w:t xml:space="preserve">Genome-wide association study</w:t>
      </w:r>
    </w:p>
    <w:p>
      <w:pPr>
        <w:pStyle w:val="FirstParagraph"/>
      </w:pPr>
      <w:r>
        <w:t xml:space="preserve">Lastly, we used Neighbor GWAS to detect large-effect loci responsible for neighbor genotypic effects on the three phenotypes of disease infection.</w:t>
      </w:r>
      <w:r>
        <w:t xml:space="preserve"> </w:t>
      </w:r>
      <w:r>
        <w:t xml:space="preserve">We detected two significant SNPs associated with neighbor genotypic effects, one of which were for net form net blotch and another was for scald (Fig. 4B, C, D).</w:t>
      </w:r>
      <w:r>
        <w:t xml:space="preserve"> </w:t>
      </w:r>
      <w:r>
        <w:t xml:space="preserve">The significant SNP of neighbor genotypic effects on the net form net blotch was located on the tip of 7H chromosome (Fig. 4B)</w:t>
      </w:r>
      <w:r>
        <w:t xml:space="preserve"> </w:t>
      </w:r>
      <w:r>
        <w:t xml:space="preserve">These findings suggest that xxx.</w:t>
      </w:r>
    </w:p>
    <w:p>
      <w:pPr>
        <w:pStyle w:val="BodyText"/>
      </w:pPr>
      <w:r>
        <w:t xml:space="preserve">To examine whether neighbor genotypic effects shared the same genetic architecture with plant’s own genotypic effects, we also conducted standard GWAS and compared it with Neighbor GWAS.</w:t>
      </w:r>
    </w:p>
    <w:p>
      <w:pPr>
        <w:numPr>
          <w:ilvl w:val="0"/>
          <w:numId w:val="1002"/>
        </w:numPr>
        <w:pStyle w:val="Compact"/>
      </w:pPr>
      <w:r>
        <w:t xml:space="preserve">QTL position of NFNB in comparison with self-QTL</w:t>
      </w:r>
      <w:r>
        <w:br/>
      </w:r>
    </w:p>
    <w:p>
      <w:pPr>
        <w:numPr>
          <w:ilvl w:val="0"/>
          <w:numId w:val="1002"/>
        </w:numPr>
        <w:pStyle w:val="Compact"/>
      </w:pPr>
      <w:r>
        <w:t xml:space="preserve">QTL position of SFNB in comparison with self-QTL</w:t>
      </w:r>
      <w:r>
        <w:br/>
      </w:r>
    </w:p>
    <w:p>
      <w:pPr>
        <w:numPr>
          <w:ilvl w:val="0"/>
          <w:numId w:val="1002"/>
        </w:numPr>
        <w:pStyle w:val="Compact"/>
      </w:pPr>
      <w:r>
        <w:t xml:space="preserve">QTL position of Scald in comparison with self-QTL</w:t>
      </w:r>
    </w:p>
    <w:p>
      <w:pPr>
        <w:pStyle w:val="FirstParagraph"/>
      </w:pPr>
      <w:r>
        <w:t xml:space="preserve">These results suggest that plant’ own and neighbor genotypic effects on disease infection may have different genetic bases.</w:t>
      </w:r>
    </w:p>
    <w:bookmarkEnd w:id="34"/>
    <w:bookmarkEnd w:id="35"/>
    <w:bookmarkStart w:id="39" w:name="discussion"/>
    <w:p>
      <w:pPr>
        <w:pStyle w:val="Heading1"/>
      </w:pPr>
      <w:r>
        <w:t xml:space="preserve">Discussion</w:t>
      </w:r>
    </w:p>
    <w:p>
      <w:pPr>
        <w:pStyle w:val="FirstParagraph"/>
      </w:pPr>
      <w:r>
        <w:t xml:space="preserve">Our quantitative genetic analyses revealed that significant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w:t>
      </w:r>
      <w:r>
        <w:t xml:space="preserve"> </w:t>
      </w:r>
      <w:r>
        <w:t xml:space="preserve">(Costa e Silva</w:t>
      </w:r>
      <w:r>
        <w:t xml:space="preserve"> </w:t>
      </w:r>
      <w:r>
        <w:rPr>
          <w:iCs/>
          <w:i/>
        </w:rPr>
        <w:t xml:space="preserve">et al.</w:t>
      </w:r>
      <w:r>
        <w:t xml:space="preserve"> </w:t>
      </w:r>
      <w:r>
        <w:t xml:space="preserve">2017)</w:t>
      </w:r>
      <w:r>
        <w:t xml:space="preserve">, and xxx.</w:t>
      </w:r>
      <w:r>
        <w:t xml:space="preserve"> </w:t>
      </w:r>
      <w:r>
        <w:t xml:space="preserve">While these previous studies also quantified the phenotypic variation attributable to neighboring genotypes, genetic variants has yet to be identified.</w:t>
      </w:r>
      <w:r>
        <w:t xml:space="preserve"> </w:t>
      </w:r>
      <w:r>
        <w:t xml:space="preserve">In this context, our Neighbor GWAS analysis detected a significant SNP associated with neighbor genotypic effects on the net blotch damage.</w:t>
      </w:r>
      <w:r>
        <w:t xml:space="preserve"> </w:t>
      </w:r>
      <w:r>
        <w:t xml:space="preserve">This is the first example for Neighbor GWAS to detect a significant QTL and, to our knowledge, one of few reports of significant QTLs responsible for neighbor genotypic effects</w:t>
      </w:r>
      <w:r>
        <w:t xml:space="preserve"> </w:t>
      </w:r>
      <w:r>
        <w:t xml:space="preserve">(Montazeaud</w:t>
      </w:r>
      <w:r>
        <w:t xml:space="preserve"> </w:t>
      </w:r>
      <w:r>
        <w:rPr>
          <w:iCs/>
          <w:i/>
        </w:rPr>
        <w:t xml:space="preserve">et al.</w:t>
      </w:r>
      <w:r>
        <w:t xml:space="preserve"> </w:t>
      </w:r>
      <w:r>
        <w:t xml:space="preserve">2022)</w:t>
      </w:r>
      <w:r>
        <w:t xml:space="preserve">.</w:t>
      </w:r>
    </w:p>
    <w:bookmarkStart w:id="36" w:name="process-of-disease-spread"/>
    <w:p>
      <w:pPr>
        <w:pStyle w:val="Heading2"/>
      </w:pPr>
      <w:r>
        <w:t xml:space="preserve">Process of disease spread</w:t>
      </w:r>
    </w:p>
    <w:p>
      <w:pPr>
        <w:pStyle w:val="FirstParagraph"/>
      </w:pPr>
      <w:r>
        <w:t xml:space="preserve">The influence of neighboring genotypes on another plant’s infection could occur through dispersal from one plot to another.</w:t>
      </w:r>
      <w:r>
        <w:t xml:space="preserve"> </w:t>
      </w:r>
      <w:r>
        <w:t xml:space="preserve">Although our quantitative genetic analysis was unable to elucidate molecular mechanisms, effective spatial scales and a significant variant deserve to be discussed.</w:t>
      </w:r>
    </w:p>
    <w:p>
      <w:pPr>
        <w:numPr>
          <w:ilvl w:val="0"/>
          <w:numId w:val="1003"/>
        </w:numPr>
        <w:pStyle w:val="Compact"/>
      </w:pPr>
      <w:r>
        <w:t xml:space="preserve">spatial scales of PVE in comparison with SpATS patterns</w:t>
      </w:r>
    </w:p>
    <w:p>
      <w:pPr>
        <w:pStyle w:val="FirstParagraph"/>
      </w:pPr>
      <w:r>
        <w:t xml:space="preserve">Furthermore, we detected a significant QTL that had negative effects of allelic mixture on damage, indicating the risk of allelic mixture to spread diseases between different genotypes.</w:t>
      </w:r>
    </w:p>
    <w:p>
      <w:pPr>
        <w:pStyle w:val="BodyText"/>
      </w:pPr>
      <w:r>
        <w:t xml:space="preserve">The influence of neighboring genotypes depends not only on plant genetics but also on pathogen life histories, with respect to generation time and dispersal mode.</w:t>
      </w:r>
    </w:p>
    <w:p>
      <w:pPr>
        <w:numPr>
          <w:ilvl w:val="0"/>
          <w:numId w:val="1004"/>
        </w:numPr>
        <w:pStyle w:val="Compact"/>
      </w:pPr>
      <w:r>
        <w:t xml:space="preserve">discussion on the generation time and dispersal model of NFNB, SFNB, and Scald</w:t>
      </w:r>
    </w:p>
    <w:bookmarkEnd w:id="36"/>
    <w:bookmarkStart w:id="37"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37"/>
    <w:bookmarkStart w:id="38"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8"/>
    <w:bookmarkEnd w:id="39"/>
    <w:bookmarkStart w:id="42" w:name="data-availability"/>
    <w:p>
      <w:pPr>
        <w:pStyle w:val="Heading1"/>
      </w:pPr>
      <w:r>
        <w:t xml:space="preserve">Data availability</w:t>
      </w:r>
    </w:p>
    <w:p>
      <w:pPr>
        <w:pStyle w:val="FirstParagraph"/>
      </w:pPr>
      <w:r>
        <w:t xml:space="preserve">All the source code and input data are available at GitHub (</w:t>
      </w:r>
      <w:hyperlink r:id="rId40">
        <w:r>
          <w:rPr>
            <w:rStyle w:val="Hyperlink"/>
          </w:rPr>
          <w:t xml:space="preserve">https://github.com/yassato/caige_barley</w:t>
        </w:r>
      </w:hyperlink>
      <w:r>
        <w:t xml:space="preserve">) and Zenodo (</w:t>
      </w:r>
      <w:hyperlink r:id="rId41">
        <w:r>
          <w:rPr>
            <w:rStyle w:val="Hyperlink"/>
          </w:rPr>
          <w:t xml:space="preserve">https://doi.org/xxxxxx</w:t>
        </w:r>
      </w:hyperlink>
      <w:r>
        <w:t xml:space="preserve">).</w:t>
      </w:r>
    </w:p>
    <w:bookmarkEnd w:id="42"/>
    <w:bookmarkStart w:id="43" w:name="author-contributions"/>
    <w:p>
      <w:pPr>
        <w:pStyle w:val="Heading1"/>
      </w:pPr>
      <w:r>
        <w:t xml:space="preserve">Author contributions</w:t>
      </w:r>
    </w:p>
    <w:p>
      <w:pPr>
        <w:pStyle w:val="FirstParagraph"/>
      </w:pPr>
      <w:r>
        <w:t xml:space="preserve">IA: investigation, formal analysis, funding acquisition, writing; KKS: supervision, funding acquisition, writing; RSI: supervision, funding acquisition, writing; YS: conceptualization, investigation, formal analysis, supervision, funding acquisition, writing</w:t>
      </w:r>
    </w:p>
    <w:bookmarkEnd w:id="43"/>
    <w:bookmarkStart w:id="44"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for his preliminary analysis during the early stage of this study. This study was supported by SNSF Spark (xxxx to YS); JST FOREST (yyyy to YS); and Hokkaido University‘s EXEX Doctoral Fellowship to IA.</w:t>
      </w:r>
    </w:p>
    <w:bookmarkEnd w:id="44"/>
    <w:bookmarkStart w:id="51" w:name="figures"/>
    <w:p>
      <w:pPr>
        <w:pStyle w:val="Heading1"/>
      </w:pPr>
      <w:r>
        <w:t xml:space="preserve">Figures</w:t>
      </w:r>
    </w:p>
    <w:p>
      <w:pPr>
        <w:numPr>
          <w:ilvl w:val="0"/>
          <w:numId w:val="1005"/>
        </w:numPr>
      </w:pPr>
      <w:r>
        <w:t xml:space="preserve">Figure 1. Workflow</w:t>
      </w:r>
    </w:p>
    <w:p>
      <w:pPr>
        <w:numPr>
          <w:ilvl w:val="0"/>
          <w:numId w:val="1005"/>
        </w:numPr>
      </w:pPr>
      <w:r>
        <w:t xml:space="preserve">Figure 2. SpATS for visualization of spatial heterogeneity</w:t>
      </w:r>
    </w:p>
    <w:p>
      <w:pPr>
        <w:pStyle w:val="CaptionedFigure"/>
      </w:pPr>
      <w:r>
        <w:drawing>
          <wp:inline>
            <wp:extent cx="5334000" cy="1679222"/>
            <wp:effectExtent b="0" l="0" r="0" t="0"/>
            <wp:docPr descr="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46" name="Picture"/>
            <a:graphic>
              <a:graphicData uri="http://schemas.openxmlformats.org/drawingml/2006/picture">
                <pic:pic>
                  <pic:nvPicPr>
                    <pic:cNvPr descr="../figures/PVE_fig.pdf" id="47" name="Picture"/>
                    <pic:cNvPicPr>
                      <a:picLocks noChangeArrowheads="1" noChangeAspect="1"/>
                    </pic:cNvPicPr>
                  </pic:nvPicPr>
                  <pic:blipFill>
                    <a:blip r:embed="rId45"/>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9" name="Picture"/>
            <a:graphic>
              <a:graphicData uri="http://schemas.openxmlformats.org/drawingml/2006/picture">
                <pic:pic>
                  <pic:nvPicPr>
                    <pic:cNvPr descr="../figures/barleyMan.pdf" id="50" name="Picture"/>
                    <pic:cNvPicPr>
                      <a:picLocks noChangeArrowheads="1" noChangeAspect="1"/>
                    </pic:cNvPicPr>
                  </pic:nvPicPr>
                  <pic:blipFill>
                    <a:blip r:embed="rId48"/>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1"/>
    <w:bookmarkStart w:id="52"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2"/>
    <w:bookmarkStart w:id="61" w:name="supplementary-materials"/>
    <w:p>
      <w:pPr>
        <w:pStyle w:val="Heading1"/>
      </w:pPr>
      <w:r>
        <w:t xml:space="preserve">Supplementary Materials</w:t>
      </w:r>
    </w:p>
    <w:p>
      <w:pPr>
        <w:numPr>
          <w:ilvl w:val="0"/>
          <w:numId w:val="1006"/>
        </w:numPr>
        <w:pStyle w:val="Compact"/>
      </w:pPr>
      <w:r>
        <w:t xml:space="preserve">Figure S1. Spatial arrangements of plant genotypes</w:t>
      </w:r>
    </w:p>
    <w:p>
      <w:pPr>
        <w:pStyle w:val="CaptionedFigure"/>
      </w:pPr>
      <w:r>
        <w:drawing>
          <wp:inline>
            <wp:extent cx="5334000" cy="3921477"/>
            <wp:effectExtent b="0" l="0" r="0" t="0"/>
            <wp:docPr descr="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4" name="Picture"/>
            <a:graphic>
              <a:graphicData uri="http://schemas.openxmlformats.org/drawingml/2006/picture">
                <pic:pic>
                  <pic:nvPicPr>
                    <pic:cNvPr descr="../figures/barleyQQ.pdf" id="55" name="Picture"/>
                    <pic:cNvPicPr>
                      <a:picLocks noChangeArrowheads="1" noChangeAspect="1"/>
                    </pic:cNvPicPr>
                  </pic:nvPicPr>
                  <pic:blipFill>
                    <a:blip r:embed="rId53"/>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numPr>
          <w:ilvl w:val="0"/>
          <w:numId w:val="1007"/>
        </w:numPr>
        <w:pStyle w:val="Compac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56">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57">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58">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59">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0">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8"/>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4.721</w:t>
            </w:r>
          </w:p>
        </w:tc>
        <w:tc>
          <w:tcPr/>
          <w:p>
            <w:pPr>
              <w:pStyle w:val="Compact"/>
              <w:jc w:val="left"/>
            </w:pPr>
            <w:r>
              <w:t xml:space="preserve">0.02980</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6.964</w:t>
            </w:r>
          </w:p>
        </w:tc>
        <w:tc>
          <w:tcPr/>
          <w:p>
            <w:pPr>
              <w:pStyle w:val="Compact"/>
              <w:jc w:val="left"/>
            </w:pPr>
            <w:r>
              <w:t xml:space="preserve">0.00831</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6.238</w:t>
            </w:r>
          </w:p>
        </w:tc>
        <w:tc>
          <w:tcPr/>
          <w:p>
            <w:pPr>
              <w:pStyle w:val="Compact"/>
              <w:jc w:val="left"/>
            </w:pPr>
            <w:r>
              <w:t xml:space="preserve">0.01251</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6.436</w:t>
            </w:r>
          </w:p>
        </w:tc>
        <w:tc>
          <w:tcPr/>
          <w:p>
            <w:pPr>
              <w:pStyle w:val="Compact"/>
              <w:jc w:val="left"/>
            </w:pPr>
            <w:r>
              <w:t xml:space="preserve">0.01119</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6.475</w:t>
            </w:r>
          </w:p>
        </w:tc>
        <w:tc>
          <w:tcPr/>
          <w:p>
            <w:pPr>
              <w:pStyle w:val="Compact"/>
              <w:jc w:val="left"/>
            </w:pPr>
            <w:r>
              <w:t xml:space="preserve">0.01094</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5.624</w:t>
            </w:r>
          </w:p>
        </w:tc>
        <w:tc>
          <w:tcPr/>
          <w:p>
            <w:pPr>
              <w:pStyle w:val="Compact"/>
              <w:jc w:val="left"/>
            </w:pPr>
            <w:r>
              <w:t xml:space="preserve">0.01772</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5.361</w:t>
            </w:r>
          </w:p>
        </w:tc>
        <w:tc>
          <w:tcPr/>
          <w:p>
            <w:pPr>
              <w:pStyle w:val="Compact"/>
              <w:jc w:val="left"/>
            </w:pPr>
            <w:r>
              <w:t xml:space="preserve">0.02059</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2.127</w:t>
            </w:r>
          </w:p>
        </w:tc>
        <w:tc>
          <w:tcPr/>
          <w:p>
            <w:pPr>
              <w:pStyle w:val="Compact"/>
              <w:jc w:val="left"/>
            </w:pPr>
            <w:r>
              <w:t xml:space="preserve">0.14469</w:t>
            </w:r>
          </w:p>
        </w:tc>
      </w:tr>
    </w:tbl>
    <w:p>
      <w:pPr>
        <w:numPr>
          <w:ilvl w:val="0"/>
          <w:numId w:val="1009"/>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0.336</w:t>
            </w:r>
          </w:p>
        </w:tc>
        <w:tc>
          <w:tcPr/>
          <w:p>
            <w:pPr>
              <w:pStyle w:val="Compact"/>
              <w:jc w:val="left"/>
            </w:pPr>
            <w:r>
              <w:t xml:space="preserve">0.000</w:t>
            </w:r>
          </w:p>
        </w:tc>
        <w:tc>
          <w:tcPr/>
          <w:p>
            <w:pPr>
              <w:pStyle w:val="Compact"/>
              <w:jc w:val="left"/>
            </w:pPr>
            <w:r>
              <w:t xml:space="preserve">6.53</w:t>
            </w:r>
          </w:p>
        </w:tc>
        <w:tc>
          <w:tcPr/>
          <w:p>
            <w:pPr>
              <w:pStyle w:val="Compact"/>
              <w:jc w:val="left"/>
            </w:pPr>
            <w:r>
              <w:t xml:space="preserve">0.01059</w:t>
            </w:r>
          </w:p>
        </w:tc>
      </w:tr>
      <w:tr>
        <w:tc>
          <w:tcPr/>
          <w:p>
            <w:pPr>
              <w:pStyle w:val="Compact"/>
              <w:jc w:val="left"/>
            </w:pPr>
            <w:r>
              <w:t xml:space="preserve">1.00</w:t>
            </w:r>
          </w:p>
        </w:tc>
        <w:tc>
          <w:tcPr/>
          <w:p>
            <w:pPr>
              <w:pStyle w:val="Compact"/>
              <w:jc w:val="left"/>
            </w:pPr>
            <w:r>
              <w:t xml:space="preserve">0.336</w:t>
            </w:r>
          </w:p>
        </w:tc>
        <w:tc>
          <w:tcPr/>
          <w:p>
            <w:pPr>
              <w:pStyle w:val="Compact"/>
              <w:jc w:val="left"/>
            </w:pPr>
            <w:r>
              <w:t xml:space="preserve">0.108</w:t>
            </w:r>
          </w:p>
        </w:tc>
        <w:tc>
          <w:tcPr/>
          <w:p>
            <w:pPr>
              <w:pStyle w:val="Compact"/>
              <w:jc w:val="left"/>
            </w:pPr>
            <w:r>
              <w:t xml:space="preserve">2.79</w:t>
            </w:r>
          </w:p>
        </w:tc>
        <w:tc>
          <w:tcPr/>
          <w:p>
            <w:pPr>
              <w:pStyle w:val="Compact"/>
              <w:jc w:val="left"/>
            </w:pPr>
            <w:r>
              <w:t xml:space="preserve">0.09471</w:t>
            </w:r>
          </w:p>
        </w:tc>
      </w:tr>
      <w:tr>
        <w:tc>
          <w:tcPr/>
          <w:p>
            <w:pPr>
              <w:pStyle w:val="Compact"/>
              <w:jc w:val="left"/>
            </w:pPr>
            <w:r>
              <w:t xml:space="preserve">1.42</w:t>
            </w:r>
          </w:p>
        </w:tc>
        <w:tc>
          <w:tcPr/>
          <w:p>
            <w:pPr>
              <w:pStyle w:val="Compact"/>
              <w:jc w:val="left"/>
            </w:pPr>
            <w:r>
              <w:t xml:space="preserve">0.336</w:t>
            </w:r>
          </w:p>
        </w:tc>
        <w:tc>
          <w:tcPr/>
          <w:p>
            <w:pPr>
              <w:pStyle w:val="Compact"/>
              <w:jc w:val="left"/>
            </w:pPr>
            <w:r>
              <w:t xml:space="preserve">0.179</w:t>
            </w:r>
          </w:p>
        </w:tc>
        <w:tc>
          <w:tcPr/>
          <w:p>
            <w:pPr>
              <w:pStyle w:val="Compact"/>
              <w:jc w:val="left"/>
            </w:pPr>
            <w:r>
              <w:t xml:space="preserve">6.08</w:t>
            </w:r>
          </w:p>
        </w:tc>
        <w:tc>
          <w:tcPr/>
          <w:p>
            <w:pPr>
              <w:pStyle w:val="Compact"/>
              <w:jc w:val="left"/>
            </w:pPr>
            <w:r>
              <w:t xml:space="preserve">0.01369</w:t>
            </w:r>
          </w:p>
        </w:tc>
      </w:tr>
      <w:tr>
        <w:tc>
          <w:tcPr/>
          <w:p>
            <w:pPr>
              <w:pStyle w:val="Compact"/>
              <w:jc w:val="left"/>
            </w:pPr>
            <w:r>
              <w:t xml:space="preserve">2.00</w:t>
            </w:r>
          </w:p>
        </w:tc>
        <w:tc>
          <w:tcPr/>
          <w:p>
            <w:pPr>
              <w:pStyle w:val="Compact"/>
              <w:jc w:val="left"/>
            </w:pPr>
            <w:r>
              <w:t xml:space="preserve">0.336</w:t>
            </w:r>
          </w:p>
        </w:tc>
        <w:tc>
          <w:tcPr/>
          <w:p>
            <w:pPr>
              <w:pStyle w:val="Compact"/>
              <w:jc w:val="left"/>
            </w:pPr>
            <w:r>
              <w:t xml:space="preserve">0.263</w:t>
            </w:r>
          </w:p>
        </w:tc>
        <w:tc>
          <w:tcPr/>
          <w:p>
            <w:pPr>
              <w:pStyle w:val="Compact"/>
              <w:jc w:val="left"/>
            </w:pPr>
            <w:r>
              <w:t xml:space="preserve">9.96</w:t>
            </w:r>
          </w:p>
        </w:tc>
        <w:tc>
          <w:tcPr/>
          <w:p>
            <w:pPr>
              <w:pStyle w:val="Compact"/>
              <w:jc w:val="left"/>
            </w:pPr>
            <w:r>
              <w:t xml:space="preserve">0.00160</w:t>
            </w:r>
          </w:p>
        </w:tc>
      </w:tr>
      <w:tr>
        <w:tc>
          <w:tcPr/>
          <w:p>
            <w:pPr>
              <w:pStyle w:val="Compact"/>
              <w:jc w:val="left"/>
            </w:pPr>
            <w:r>
              <w:t xml:space="preserve">2.84</w:t>
            </w:r>
          </w:p>
        </w:tc>
        <w:tc>
          <w:tcPr/>
          <w:p>
            <w:pPr>
              <w:pStyle w:val="Compact"/>
              <w:jc w:val="left"/>
            </w:pPr>
            <w:r>
              <w:t xml:space="preserve">0.336</w:t>
            </w:r>
          </w:p>
        </w:tc>
        <w:tc>
          <w:tcPr/>
          <w:p>
            <w:pPr>
              <w:pStyle w:val="Compact"/>
              <w:jc w:val="left"/>
            </w:pPr>
            <w:r>
              <w:t xml:space="preserve">0.187</w:t>
            </w:r>
          </w:p>
        </w:tc>
        <w:tc>
          <w:tcPr/>
          <w:p>
            <w:pPr>
              <w:pStyle w:val="Compact"/>
              <w:jc w:val="left"/>
            </w:pPr>
            <w:r>
              <w:t xml:space="preserve">4.12</w:t>
            </w:r>
          </w:p>
        </w:tc>
        <w:tc>
          <w:tcPr/>
          <w:p>
            <w:pPr>
              <w:pStyle w:val="Compact"/>
              <w:jc w:val="left"/>
            </w:pPr>
            <w:r>
              <w:t xml:space="preserve">0.04236</w:t>
            </w:r>
          </w:p>
        </w:tc>
      </w:tr>
      <w:tr>
        <w:tc>
          <w:tcPr/>
          <w:p>
            <w:pPr>
              <w:pStyle w:val="Compact"/>
              <w:jc w:val="left"/>
            </w:pPr>
            <w:r>
              <w:t xml:space="preserve">3.00</w:t>
            </w:r>
          </w:p>
        </w:tc>
        <w:tc>
          <w:tcPr/>
          <w:p>
            <w:pPr>
              <w:pStyle w:val="Compact"/>
              <w:jc w:val="left"/>
            </w:pPr>
            <w:r>
              <w:t xml:space="preserve">0.336</w:t>
            </w:r>
          </w:p>
        </w:tc>
        <w:tc>
          <w:tcPr/>
          <w:p>
            <w:pPr>
              <w:pStyle w:val="Compact"/>
              <w:jc w:val="left"/>
            </w:pPr>
            <w:r>
              <w:t xml:space="preserve">0.227</w:t>
            </w:r>
          </w:p>
        </w:tc>
        <w:tc>
          <w:tcPr/>
          <w:p>
            <w:pPr>
              <w:pStyle w:val="Compact"/>
              <w:jc w:val="left"/>
            </w:pPr>
            <w:r>
              <w:t xml:space="preserve">4.75</w:t>
            </w:r>
          </w:p>
        </w:tc>
        <w:tc>
          <w:tcPr/>
          <w:p>
            <w:pPr>
              <w:pStyle w:val="Compact"/>
              <w:jc w:val="left"/>
            </w:pPr>
            <w:r>
              <w:t xml:space="preserve">0.02930</w:t>
            </w:r>
          </w:p>
        </w:tc>
      </w:tr>
      <w:tr>
        <w:tc>
          <w:tcPr/>
          <w:p>
            <w:pPr>
              <w:pStyle w:val="Compact"/>
              <w:jc w:val="left"/>
            </w:pPr>
            <w:r>
              <w:t xml:space="preserve">4.00</w:t>
            </w:r>
          </w:p>
        </w:tc>
        <w:tc>
          <w:tcPr/>
          <w:p>
            <w:pPr>
              <w:pStyle w:val="Compact"/>
              <w:jc w:val="left"/>
            </w:pPr>
            <w:r>
              <w:t xml:space="preserve">0.336</w:t>
            </w:r>
          </w:p>
        </w:tc>
        <w:tc>
          <w:tcPr/>
          <w:p>
            <w:pPr>
              <w:pStyle w:val="Compact"/>
              <w:jc w:val="left"/>
            </w:pPr>
            <w:r>
              <w:t xml:space="preserve">0.167</w:t>
            </w:r>
          </w:p>
        </w:tc>
        <w:tc>
          <w:tcPr/>
          <w:p>
            <w:pPr>
              <w:pStyle w:val="Compact"/>
              <w:jc w:val="left"/>
            </w:pPr>
            <w:r>
              <w:t xml:space="preserve">2.59</w:t>
            </w:r>
          </w:p>
        </w:tc>
        <w:tc>
          <w:tcPr/>
          <w:p>
            <w:pPr>
              <w:pStyle w:val="Compact"/>
              <w:jc w:val="left"/>
            </w:pPr>
            <w:r>
              <w:t xml:space="preserve">0.10720</w:t>
            </w:r>
          </w:p>
        </w:tc>
      </w:tr>
      <w:tr>
        <w:tc>
          <w:tcPr/>
          <w:p>
            <w:pPr>
              <w:pStyle w:val="Compact"/>
              <w:jc w:val="left"/>
            </w:pPr>
            <w:r>
              <w:t xml:space="preserve">4.25</w:t>
            </w:r>
          </w:p>
        </w:tc>
        <w:tc>
          <w:tcPr/>
          <w:p>
            <w:pPr>
              <w:pStyle w:val="Compact"/>
              <w:jc w:val="left"/>
            </w:pPr>
            <w:r>
              <w:t xml:space="preserve">0.336</w:t>
            </w:r>
          </w:p>
        </w:tc>
        <w:tc>
          <w:tcPr/>
          <w:p>
            <w:pPr>
              <w:pStyle w:val="Compact"/>
              <w:jc w:val="left"/>
            </w:pPr>
            <w:r>
              <w:t xml:space="preserve">0.160</w:t>
            </w:r>
          </w:p>
        </w:tc>
        <w:tc>
          <w:tcPr/>
          <w:p>
            <w:pPr>
              <w:pStyle w:val="Compact"/>
              <w:jc w:val="left"/>
            </w:pPr>
            <w:r>
              <w:t xml:space="preserve">2.12</w:t>
            </w:r>
          </w:p>
        </w:tc>
        <w:tc>
          <w:tcPr/>
          <w:p>
            <w:pPr>
              <w:pStyle w:val="Compact"/>
              <w:jc w:val="left"/>
            </w:pPr>
            <w:r>
              <w:t xml:space="preserve">0.14492</w:t>
            </w:r>
          </w:p>
        </w:tc>
      </w:tr>
    </w:tbl>
    <w:p>
      <w:pPr>
        <w:numPr>
          <w:ilvl w:val="0"/>
          <w:numId w:val="1010"/>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0.588</w:t>
            </w:r>
          </w:p>
        </w:tc>
        <w:tc>
          <w:tcPr/>
          <w:p>
            <w:pPr>
              <w:pStyle w:val="Compact"/>
              <w:jc w:val="left"/>
            </w:pPr>
            <w:r>
              <w:t xml:space="preserve">0.000</w:t>
            </w:r>
          </w:p>
        </w:tc>
        <w:tc>
          <w:tcPr/>
          <w:p>
            <w:pPr>
              <w:pStyle w:val="Compact"/>
              <w:jc w:val="left"/>
            </w:pPr>
            <w:r>
              <w:t xml:space="preserve">15.21</w:t>
            </w:r>
          </w:p>
        </w:tc>
        <w:tc>
          <w:tcPr/>
          <w:p>
            <w:pPr>
              <w:pStyle w:val="Compact"/>
              <w:jc w:val="left"/>
            </w:pPr>
            <w:r>
              <w:t xml:space="preserve">9.595E-05</w:t>
            </w:r>
          </w:p>
        </w:tc>
      </w:tr>
      <w:tr>
        <w:tc>
          <w:tcPr/>
          <w:p>
            <w:pPr>
              <w:pStyle w:val="Compact"/>
              <w:jc w:val="left"/>
            </w:pPr>
            <w:r>
              <w:t xml:space="preserve">1.00</w:t>
            </w:r>
          </w:p>
        </w:tc>
        <w:tc>
          <w:tcPr/>
          <w:p>
            <w:pPr>
              <w:pStyle w:val="Compact"/>
              <w:jc w:val="left"/>
            </w:pPr>
            <w:r>
              <w:t xml:space="preserve">0.588</w:t>
            </w:r>
          </w:p>
        </w:tc>
        <w:tc>
          <w:tcPr/>
          <w:p>
            <w:pPr>
              <w:pStyle w:val="Compact"/>
              <w:jc w:val="left"/>
            </w:pPr>
            <w:r>
              <w:t xml:space="preserve">0.195</w:t>
            </w:r>
          </w:p>
        </w:tc>
        <w:tc>
          <w:tcPr/>
          <w:p>
            <w:pPr>
              <w:pStyle w:val="Compact"/>
              <w:jc w:val="left"/>
            </w:pPr>
            <w:r>
              <w:t xml:space="preserve">30.29</w:t>
            </w:r>
          </w:p>
        </w:tc>
        <w:tc>
          <w:tcPr/>
          <w:p>
            <w:pPr>
              <w:pStyle w:val="Compact"/>
              <w:jc w:val="left"/>
            </w:pPr>
            <w:r>
              <w:t xml:space="preserve">3.723E-08</w:t>
            </w:r>
          </w:p>
        </w:tc>
      </w:tr>
      <w:tr>
        <w:tc>
          <w:tcPr/>
          <w:p>
            <w:pPr>
              <w:pStyle w:val="Compact"/>
              <w:jc w:val="left"/>
            </w:pPr>
            <w:r>
              <w:t xml:space="preserve">1.42</w:t>
            </w:r>
          </w:p>
        </w:tc>
        <w:tc>
          <w:tcPr/>
          <w:p>
            <w:pPr>
              <w:pStyle w:val="Compact"/>
              <w:jc w:val="left"/>
            </w:pPr>
            <w:r>
              <w:t xml:space="preserve">0.588</w:t>
            </w:r>
          </w:p>
        </w:tc>
        <w:tc>
          <w:tcPr/>
          <w:p>
            <w:pPr>
              <w:pStyle w:val="Compact"/>
              <w:jc w:val="left"/>
            </w:pPr>
            <w:r>
              <w:t xml:space="preserve">0.095</w:t>
            </w:r>
          </w:p>
        </w:tc>
        <w:tc>
          <w:tcPr/>
          <w:p>
            <w:pPr>
              <w:pStyle w:val="Compact"/>
              <w:jc w:val="left"/>
            </w:pPr>
            <w:r>
              <w:t xml:space="preserve">15.18</w:t>
            </w:r>
          </w:p>
        </w:tc>
        <w:tc>
          <w:tcPr/>
          <w:p>
            <w:pPr>
              <w:pStyle w:val="Compact"/>
              <w:jc w:val="left"/>
            </w:pPr>
            <w:r>
              <w:t xml:space="preserve">9.771E-05</w:t>
            </w:r>
          </w:p>
        </w:tc>
      </w:tr>
      <w:tr>
        <w:tc>
          <w:tcPr/>
          <w:p>
            <w:pPr>
              <w:pStyle w:val="Compact"/>
              <w:jc w:val="left"/>
            </w:pPr>
            <w:r>
              <w:t xml:space="preserve">2.00</w:t>
            </w:r>
          </w:p>
        </w:tc>
        <w:tc>
          <w:tcPr/>
          <w:p>
            <w:pPr>
              <w:pStyle w:val="Compact"/>
              <w:jc w:val="left"/>
            </w:pPr>
            <w:r>
              <w:t xml:space="preserve">0.588</w:t>
            </w:r>
          </w:p>
        </w:tc>
        <w:tc>
          <w:tcPr/>
          <w:p>
            <w:pPr>
              <w:pStyle w:val="Compact"/>
              <w:jc w:val="left"/>
            </w:pPr>
            <w:r>
              <w:t xml:space="preserve">0.167</w:t>
            </w:r>
          </w:p>
        </w:tc>
        <w:tc>
          <w:tcPr/>
          <w:p>
            <w:pPr>
              <w:pStyle w:val="Compact"/>
              <w:jc w:val="left"/>
            </w:pPr>
            <w:r>
              <w:t xml:space="preserve">17.63</w:t>
            </w:r>
          </w:p>
        </w:tc>
        <w:tc>
          <w:tcPr/>
          <w:p>
            <w:pPr>
              <w:pStyle w:val="Compact"/>
              <w:jc w:val="left"/>
            </w:pPr>
            <w:r>
              <w:t xml:space="preserve">2.682E-05</w:t>
            </w:r>
          </w:p>
        </w:tc>
      </w:tr>
      <w:tr>
        <w:tc>
          <w:tcPr/>
          <w:p>
            <w:pPr>
              <w:pStyle w:val="Compact"/>
              <w:jc w:val="left"/>
            </w:pPr>
            <w:r>
              <w:t xml:space="preserve">2.84</w:t>
            </w:r>
          </w:p>
        </w:tc>
        <w:tc>
          <w:tcPr/>
          <w:p>
            <w:pPr>
              <w:pStyle w:val="Compact"/>
              <w:jc w:val="left"/>
            </w:pPr>
            <w:r>
              <w:t xml:space="preserve">0.588</w:t>
            </w:r>
          </w:p>
        </w:tc>
        <w:tc>
          <w:tcPr/>
          <w:p>
            <w:pPr>
              <w:pStyle w:val="Compact"/>
              <w:jc w:val="left"/>
            </w:pPr>
            <w:r>
              <w:t xml:space="preserve">0.092</w:t>
            </w:r>
          </w:p>
        </w:tc>
        <w:tc>
          <w:tcPr/>
          <w:p>
            <w:pPr>
              <w:pStyle w:val="Compact"/>
              <w:jc w:val="left"/>
            </w:pPr>
            <w:r>
              <w:t xml:space="preserve">7.33</w:t>
            </w:r>
          </w:p>
        </w:tc>
        <w:tc>
          <w:tcPr/>
          <w:p>
            <w:pPr>
              <w:pStyle w:val="Compact"/>
              <w:jc w:val="left"/>
            </w:pPr>
            <w:r>
              <w:t xml:space="preserve">6.789E-03</w:t>
            </w:r>
          </w:p>
        </w:tc>
      </w:tr>
      <w:tr>
        <w:tc>
          <w:tcPr/>
          <w:p>
            <w:pPr>
              <w:pStyle w:val="Compact"/>
              <w:jc w:val="left"/>
            </w:pPr>
            <w:r>
              <w:t xml:space="preserve">3.00</w:t>
            </w:r>
          </w:p>
        </w:tc>
        <w:tc>
          <w:tcPr/>
          <w:p>
            <w:pPr>
              <w:pStyle w:val="Compact"/>
              <w:jc w:val="left"/>
            </w:pPr>
            <w:r>
              <w:t xml:space="preserve">0.588</w:t>
            </w:r>
          </w:p>
        </w:tc>
        <w:tc>
          <w:tcPr/>
          <w:p>
            <w:pPr>
              <w:pStyle w:val="Compact"/>
              <w:jc w:val="left"/>
            </w:pPr>
            <w:r>
              <w:t xml:space="preserve">0.117</w:t>
            </w:r>
          </w:p>
        </w:tc>
        <w:tc>
          <w:tcPr/>
          <w:p>
            <w:pPr>
              <w:pStyle w:val="Compact"/>
              <w:jc w:val="left"/>
            </w:pPr>
            <w:r>
              <w:t xml:space="preserve">9.22</w:t>
            </w:r>
          </w:p>
        </w:tc>
        <w:tc>
          <w:tcPr/>
          <w:p>
            <w:pPr>
              <w:pStyle w:val="Compact"/>
              <w:jc w:val="left"/>
            </w:pPr>
            <w:r>
              <w:t xml:space="preserve">2.398E-03</w:t>
            </w:r>
          </w:p>
        </w:tc>
      </w:tr>
      <w:tr>
        <w:tc>
          <w:tcPr/>
          <w:p>
            <w:pPr>
              <w:pStyle w:val="Compact"/>
              <w:jc w:val="left"/>
            </w:pPr>
            <w:r>
              <w:t xml:space="preserve">4.00</w:t>
            </w:r>
          </w:p>
        </w:tc>
        <w:tc>
          <w:tcPr/>
          <w:p>
            <w:pPr>
              <w:pStyle w:val="Compact"/>
              <w:jc w:val="left"/>
            </w:pPr>
            <w:r>
              <w:t xml:space="preserve">0.588</w:t>
            </w:r>
          </w:p>
        </w:tc>
        <w:tc>
          <w:tcPr/>
          <w:p>
            <w:pPr>
              <w:pStyle w:val="Compact"/>
              <w:jc w:val="left"/>
            </w:pPr>
            <w:r>
              <w:t xml:space="preserve">0.148</w:t>
            </w:r>
          </w:p>
        </w:tc>
        <w:tc>
          <w:tcPr/>
          <w:p>
            <w:pPr>
              <w:pStyle w:val="Compact"/>
              <w:jc w:val="left"/>
            </w:pPr>
            <w:r>
              <w:t xml:space="preserve">10.25</w:t>
            </w:r>
          </w:p>
        </w:tc>
        <w:tc>
          <w:tcPr/>
          <w:p>
            <w:pPr>
              <w:pStyle w:val="Compact"/>
              <w:jc w:val="left"/>
            </w:pPr>
            <w:r>
              <w:t xml:space="preserve">1.364E-03</w:t>
            </w:r>
          </w:p>
        </w:tc>
      </w:tr>
      <w:tr>
        <w:tc>
          <w:tcPr/>
          <w:p>
            <w:pPr>
              <w:pStyle w:val="Compact"/>
              <w:jc w:val="left"/>
            </w:pPr>
            <w:r>
              <w:t xml:space="preserve">4.25</w:t>
            </w:r>
          </w:p>
        </w:tc>
        <w:tc>
          <w:tcPr/>
          <w:p>
            <w:pPr>
              <w:pStyle w:val="Compact"/>
              <w:jc w:val="left"/>
            </w:pPr>
            <w:r>
              <w:t xml:space="preserve">0.588</w:t>
            </w:r>
          </w:p>
        </w:tc>
        <w:tc>
          <w:tcPr/>
          <w:p>
            <w:pPr>
              <w:pStyle w:val="Compact"/>
              <w:jc w:val="left"/>
            </w:pPr>
            <w:r>
              <w:t xml:space="preserve">0.149</w:t>
            </w:r>
          </w:p>
        </w:tc>
        <w:tc>
          <w:tcPr/>
          <w:p>
            <w:pPr>
              <w:pStyle w:val="Compact"/>
              <w:jc w:val="left"/>
            </w:pPr>
            <w:r>
              <w:t xml:space="preserve">8.91</w:t>
            </w:r>
          </w:p>
        </w:tc>
        <w:tc>
          <w:tcPr/>
          <w:p>
            <w:pPr>
              <w:pStyle w:val="Compact"/>
              <w:jc w:val="left"/>
            </w:pPr>
            <w:r>
              <w:t xml:space="preserve">2.828E-03</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w:t>
            </w:r>
          </w:p>
        </w:tc>
        <w:tc>
          <w:tcPr/>
          <w:p>
            <w:pPr>
              <w:pStyle w:val="Compact"/>
              <w:jc w:val="left"/>
            </w:pPr>
            <w:r>
              <w:t xml:space="preserve">0.0298</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w:t>
            </w:r>
          </w:p>
        </w:tc>
        <w:tc>
          <w:tcPr/>
          <w:p>
            <w:pPr>
              <w:pStyle w:val="Compact"/>
              <w:jc w:val="left"/>
            </w:pPr>
            <w:r>
              <w:t xml:space="preserve">0.0083</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6.24</w:t>
            </w:r>
          </w:p>
        </w:tc>
        <w:tc>
          <w:tcPr/>
          <w:p>
            <w:pPr>
              <w:pStyle w:val="Compact"/>
              <w:jc w:val="left"/>
            </w:pPr>
            <w:r>
              <w:t xml:space="preserve">0.0125</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6.44</w:t>
            </w:r>
          </w:p>
        </w:tc>
        <w:tc>
          <w:tcPr/>
          <w:p>
            <w:pPr>
              <w:pStyle w:val="Compact"/>
              <w:jc w:val="left"/>
            </w:pPr>
            <w:r>
              <w:t xml:space="preserve">0.0112</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w:t>
            </w:r>
          </w:p>
        </w:tc>
        <w:tc>
          <w:tcPr/>
          <w:p>
            <w:pPr>
              <w:pStyle w:val="Compact"/>
              <w:jc w:val="left"/>
            </w:pPr>
            <w:r>
              <w:t xml:space="preserve">0.0109</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w:t>
            </w:r>
          </w:p>
        </w:tc>
        <w:tc>
          <w:tcPr/>
          <w:p>
            <w:pPr>
              <w:pStyle w:val="Compact"/>
              <w:jc w:val="left"/>
            </w:pPr>
            <w:r>
              <w:t xml:space="preserve">0.0177</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w:t>
            </w:r>
          </w:p>
        </w:tc>
        <w:tc>
          <w:tcPr/>
          <w:p>
            <w:pPr>
              <w:pStyle w:val="Compact"/>
              <w:jc w:val="left"/>
            </w:pPr>
            <w:r>
              <w:t xml:space="preserve">0.0206</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2.13</w:t>
            </w:r>
          </w:p>
        </w:tc>
        <w:tc>
          <w:tcPr/>
          <w:p>
            <w:pPr>
              <w:pStyle w:val="Compact"/>
              <w:jc w:val="left"/>
            </w:pPr>
            <w:r>
              <w:t xml:space="preserve">0.1447</w:t>
            </w:r>
          </w:p>
        </w:tc>
      </w:tr>
    </w:tbl>
    <w:p>
      <w:pPr>
        <w:numPr>
          <w:ilvl w:val="0"/>
          <w:numId w:val="101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0.265</w:t>
            </w:r>
          </w:p>
        </w:tc>
        <w:tc>
          <w:tcPr/>
          <w:p>
            <w:pPr>
              <w:pStyle w:val="Compact"/>
              <w:jc w:val="left"/>
            </w:pPr>
            <w:r>
              <w:t xml:space="preserve">0.000</w:t>
            </w:r>
          </w:p>
        </w:tc>
        <w:tc>
          <w:tcPr/>
          <w:p>
            <w:pPr>
              <w:pStyle w:val="Compact"/>
              <w:jc w:val="left"/>
            </w:pPr>
            <w:r>
              <w:t xml:space="preserve">6.29</w:t>
            </w:r>
          </w:p>
        </w:tc>
        <w:tc>
          <w:tcPr/>
          <w:p>
            <w:pPr>
              <w:pStyle w:val="Compact"/>
              <w:jc w:val="left"/>
            </w:pPr>
            <w:r>
              <w:t xml:space="preserve">0.0122</w:t>
            </w:r>
          </w:p>
        </w:tc>
      </w:tr>
      <w:tr>
        <w:tc>
          <w:tcPr/>
          <w:p>
            <w:pPr>
              <w:pStyle w:val="Compact"/>
              <w:jc w:val="left"/>
            </w:pPr>
            <w:r>
              <w:t xml:space="preserve">1.00</w:t>
            </w:r>
          </w:p>
        </w:tc>
        <w:tc>
          <w:tcPr/>
          <w:p>
            <w:pPr>
              <w:pStyle w:val="Compact"/>
              <w:jc w:val="left"/>
            </w:pPr>
            <w:r>
              <w:t xml:space="preserve">0.265</w:t>
            </w:r>
          </w:p>
        </w:tc>
        <w:tc>
          <w:tcPr/>
          <w:p>
            <w:pPr>
              <w:pStyle w:val="Compact"/>
              <w:jc w:val="left"/>
            </w:pPr>
            <w:r>
              <w:t xml:space="preserve">0.110</w:t>
            </w:r>
          </w:p>
        </w:tc>
        <w:tc>
          <w:tcPr/>
          <w:p>
            <w:pPr>
              <w:pStyle w:val="Compact"/>
              <w:jc w:val="left"/>
            </w:pPr>
            <w:r>
              <w:t xml:space="preserve">2.56</w:t>
            </w:r>
          </w:p>
        </w:tc>
        <w:tc>
          <w:tcPr/>
          <w:p>
            <w:pPr>
              <w:pStyle w:val="Compact"/>
              <w:jc w:val="left"/>
            </w:pPr>
            <w:r>
              <w:t xml:space="preserve">0.1093</w:t>
            </w:r>
          </w:p>
        </w:tc>
      </w:tr>
      <w:tr>
        <w:tc>
          <w:tcPr/>
          <w:p>
            <w:pPr>
              <w:pStyle w:val="Compact"/>
              <w:jc w:val="left"/>
            </w:pPr>
            <w:r>
              <w:t xml:space="preserve">1.42</w:t>
            </w:r>
          </w:p>
        </w:tc>
        <w:tc>
          <w:tcPr/>
          <w:p>
            <w:pPr>
              <w:pStyle w:val="Compact"/>
              <w:jc w:val="left"/>
            </w:pPr>
            <w:r>
              <w:t xml:space="preserve">0.265</w:t>
            </w:r>
          </w:p>
        </w:tc>
        <w:tc>
          <w:tcPr/>
          <w:p>
            <w:pPr>
              <w:pStyle w:val="Compact"/>
              <w:jc w:val="left"/>
            </w:pPr>
            <w:r>
              <w:t xml:space="preserve">0.192</w:t>
            </w:r>
          </w:p>
        </w:tc>
        <w:tc>
          <w:tcPr/>
          <w:p>
            <w:pPr>
              <w:pStyle w:val="Compact"/>
              <w:jc w:val="left"/>
            </w:pPr>
            <w:r>
              <w:t xml:space="preserve">5.93</w:t>
            </w:r>
          </w:p>
        </w:tc>
        <w:tc>
          <w:tcPr/>
          <w:p>
            <w:pPr>
              <w:pStyle w:val="Compact"/>
              <w:jc w:val="left"/>
            </w:pPr>
            <w:r>
              <w:t xml:space="preserve">0.0149</w:t>
            </w:r>
          </w:p>
        </w:tc>
      </w:tr>
      <w:tr>
        <w:tc>
          <w:tcPr/>
          <w:p>
            <w:pPr>
              <w:pStyle w:val="Compact"/>
              <w:jc w:val="left"/>
            </w:pPr>
            <w:r>
              <w:t xml:space="preserve">2.00</w:t>
            </w:r>
          </w:p>
        </w:tc>
        <w:tc>
          <w:tcPr/>
          <w:p>
            <w:pPr>
              <w:pStyle w:val="Compact"/>
              <w:jc w:val="left"/>
            </w:pPr>
            <w:r>
              <w:t xml:space="preserve">0.265</w:t>
            </w:r>
          </w:p>
        </w:tc>
        <w:tc>
          <w:tcPr/>
          <w:p>
            <w:pPr>
              <w:pStyle w:val="Compact"/>
              <w:jc w:val="left"/>
            </w:pPr>
            <w:r>
              <w:t xml:space="preserve">0.282</w:t>
            </w:r>
          </w:p>
        </w:tc>
        <w:tc>
          <w:tcPr/>
          <w:p>
            <w:pPr>
              <w:pStyle w:val="Compact"/>
              <w:jc w:val="left"/>
            </w:pPr>
            <w:r>
              <w:t xml:space="preserve">9.06</w:t>
            </w:r>
          </w:p>
        </w:tc>
        <w:tc>
          <w:tcPr/>
          <w:p>
            <w:pPr>
              <w:pStyle w:val="Compact"/>
              <w:jc w:val="left"/>
            </w:pPr>
            <w:r>
              <w:t xml:space="preserve">0.0026</w:t>
            </w:r>
          </w:p>
        </w:tc>
      </w:tr>
      <w:tr>
        <w:tc>
          <w:tcPr/>
          <w:p>
            <w:pPr>
              <w:pStyle w:val="Compact"/>
              <w:jc w:val="left"/>
            </w:pPr>
            <w:r>
              <w:t xml:space="preserve">2.84</w:t>
            </w:r>
          </w:p>
        </w:tc>
        <w:tc>
          <w:tcPr/>
          <w:p>
            <w:pPr>
              <w:pStyle w:val="Compact"/>
              <w:jc w:val="left"/>
            </w:pPr>
            <w:r>
              <w:t xml:space="preserve">0.265</w:t>
            </w:r>
          </w:p>
        </w:tc>
        <w:tc>
          <w:tcPr/>
          <w:p>
            <w:pPr>
              <w:pStyle w:val="Compact"/>
              <w:jc w:val="left"/>
            </w:pPr>
            <w:r>
              <w:t xml:space="preserve">0.212</w:t>
            </w:r>
          </w:p>
        </w:tc>
        <w:tc>
          <w:tcPr/>
          <w:p>
            <w:pPr>
              <w:pStyle w:val="Compact"/>
              <w:jc w:val="left"/>
            </w:pPr>
            <w:r>
              <w:t xml:space="preserve">4.10</w:t>
            </w:r>
          </w:p>
        </w:tc>
        <w:tc>
          <w:tcPr/>
          <w:p>
            <w:pPr>
              <w:pStyle w:val="Compact"/>
              <w:jc w:val="left"/>
            </w:pPr>
            <w:r>
              <w:t xml:space="preserve">0.0430</w:t>
            </w:r>
          </w:p>
        </w:tc>
      </w:tr>
      <w:tr>
        <w:tc>
          <w:tcPr/>
          <w:p>
            <w:pPr>
              <w:pStyle w:val="Compact"/>
              <w:jc w:val="left"/>
            </w:pPr>
            <w:r>
              <w:t xml:space="preserve">3.00</w:t>
            </w:r>
          </w:p>
        </w:tc>
        <w:tc>
          <w:tcPr/>
          <w:p>
            <w:pPr>
              <w:pStyle w:val="Compact"/>
              <w:jc w:val="left"/>
            </w:pPr>
            <w:r>
              <w:t xml:space="preserve">0.265</w:t>
            </w:r>
          </w:p>
        </w:tc>
        <w:tc>
          <w:tcPr/>
          <w:p>
            <w:pPr>
              <w:pStyle w:val="Compact"/>
              <w:jc w:val="left"/>
            </w:pPr>
            <w:r>
              <w:t xml:space="preserve">0.248</w:t>
            </w:r>
          </w:p>
        </w:tc>
        <w:tc>
          <w:tcPr/>
          <w:p>
            <w:pPr>
              <w:pStyle w:val="Compact"/>
              <w:jc w:val="left"/>
            </w:pPr>
            <w:r>
              <w:t xml:space="preserve">4.50</w:t>
            </w:r>
          </w:p>
        </w:tc>
        <w:tc>
          <w:tcPr/>
          <w:p>
            <w:pPr>
              <w:pStyle w:val="Compact"/>
              <w:jc w:val="left"/>
            </w:pPr>
            <w:r>
              <w:t xml:space="preserve">0.0339</w:t>
            </w:r>
          </w:p>
        </w:tc>
      </w:tr>
      <w:tr>
        <w:tc>
          <w:tcPr/>
          <w:p>
            <w:pPr>
              <w:pStyle w:val="Compact"/>
              <w:jc w:val="left"/>
            </w:pPr>
            <w:r>
              <w:t xml:space="preserve">4.00</w:t>
            </w:r>
          </w:p>
        </w:tc>
        <w:tc>
          <w:tcPr/>
          <w:p>
            <w:pPr>
              <w:pStyle w:val="Compact"/>
              <w:jc w:val="left"/>
            </w:pPr>
            <w:r>
              <w:t xml:space="preserve">0.265</w:t>
            </w:r>
          </w:p>
        </w:tc>
        <w:tc>
          <w:tcPr/>
          <w:p>
            <w:pPr>
              <w:pStyle w:val="Compact"/>
              <w:jc w:val="left"/>
            </w:pPr>
            <w:r>
              <w:t xml:space="preserve">0.180</w:t>
            </w:r>
          </w:p>
        </w:tc>
        <w:tc>
          <w:tcPr/>
          <w:p>
            <w:pPr>
              <w:pStyle w:val="Compact"/>
              <w:jc w:val="left"/>
            </w:pPr>
            <w:r>
              <w:t xml:space="preserve">2.37</w:t>
            </w:r>
          </w:p>
        </w:tc>
        <w:tc>
          <w:tcPr/>
          <w:p>
            <w:pPr>
              <w:pStyle w:val="Compact"/>
              <w:jc w:val="left"/>
            </w:pPr>
            <w:r>
              <w:t xml:space="preserve">0.1240</w:t>
            </w:r>
          </w:p>
        </w:tc>
      </w:tr>
      <w:tr>
        <w:tc>
          <w:tcPr/>
          <w:p>
            <w:pPr>
              <w:pStyle w:val="Compact"/>
              <w:jc w:val="left"/>
            </w:pPr>
            <w:r>
              <w:t xml:space="preserve">4.25</w:t>
            </w:r>
          </w:p>
        </w:tc>
        <w:tc>
          <w:tcPr/>
          <w:p>
            <w:pPr>
              <w:pStyle w:val="Compact"/>
              <w:jc w:val="left"/>
            </w:pPr>
            <w:r>
              <w:t xml:space="preserve">0.265</w:t>
            </w:r>
          </w:p>
        </w:tc>
        <w:tc>
          <w:tcPr/>
          <w:p>
            <w:pPr>
              <w:pStyle w:val="Compact"/>
              <w:jc w:val="left"/>
            </w:pPr>
            <w:r>
              <w:t xml:space="preserve">0.175</w:t>
            </w:r>
          </w:p>
        </w:tc>
        <w:tc>
          <w:tcPr/>
          <w:p>
            <w:pPr>
              <w:pStyle w:val="Compact"/>
              <w:jc w:val="left"/>
            </w:pPr>
            <w:r>
              <w:t xml:space="preserve">1.99</w:t>
            </w:r>
          </w:p>
        </w:tc>
        <w:tc>
          <w:tcPr/>
          <w:p>
            <w:pPr>
              <w:pStyle w:val="Compact"/>
              <w:jc w:val="left"/>
            </w:pPr>
            <w:r>
              <w:t xml:space="preserve">0.1587</w:t>
            </w:r>
          </w:p>
        </w:tc>
      </w:tr>
    </w:tbl>
    <w:p>
      <w:pPr>
        <w:numPr>
          <w:ilvl w:val="0"/>
          <w:numId w:val="1013"/>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0.510</w:t>
            </w:r>
          </w:p>
        </w:tc>
        <w:tc>
          <w:tcPr/>
          <w:p>
            <w:pPr>
              <w:pStyle w:val="Compact"/>
              <w:jc w:val="left"/>
            </w:pPr>
            <w:r>
              <w:t xml:space="preserve">0.000</w:t>
            </w:r>
          </w:p>
        </w:tc>
        <w:tc>
          <w:tcPr/>
          <w:p>
            <w:pPr>
              <w:pStyle w:val="Compact"/>
              <w:jc w:val="left"/>
            </w:pPr>
            <w:r>
              <w:t xml:space="preserve">14.92</w:t>
            </w:r>
          </w:p>
        </w:tc>
        <w:tc>
          <w:tcPr/>
          <w:p>
            <w:pPr>
              <w:pStyle w:val="Compact"/>
              <w:jc w:val="left"/>
            </w:pPr>
            <w:r>
              <w:t xml:space="preserve">0.0001</w:t>
            </w:r>
          </w:p>
        </w:tc>
      </w:tr>
      <w:tr>
        <w:tc>
          <w:tcPr/>
          <w:p>
            <w:pPr>
              <w:pStyle w:val="Compact"/>
              <w:jc w:val="left"/>
            </w:pPr>
            <w:r>
              <w:t xml:space="preserve">1.00</w:t>
            </w:r>
          </w:p>
        </w:tc>
        <w:tc>
          <w:tcPr/>
          <w:p>
            <w:pPr>
              <w:pStyle w:val="Compact"/>
              <w:jc w:val="left"/>
            </w:pPr>
            <w:r>
              <w:t xml:space="preserve">0.510</w:t>
            </w:r>
          </w:p>
        </w:tc>
        <w:tc>
          <w:tcPr/>
          <w:p>
            <w:pPr>
              <w:pStyle w:val="Compact"/>
              <w:jc w:val="left"/>
            </w:pPr>
            <w:r>
              <w:t xml:space="preserve">0.226</w:t>
            </w:r>
          </w:p>
        </w:tc>
        <w:tc>
          <w:tcPr/>
          <w:p>
            <w:pPr>
              <w:pStyle w:val="Compact"/>
              <w:jc w:val="left"/>
            </w:pPr>
            <w:r>
              <w:t xml:space="preserve">29.56</w:t>
            </w:r>
          </w:p>
        </w:tc>
        <w:tc>
          <w:tcPr/>
          <w:p>
            <w:pPr>
              <w:pStyle w:val="Compact"/>
              <w:jc w:val="left"/>
            </w:pPr>
            <w:r>
              <w:t xml:space="preserve">5.42E-08</w:t>
            </w:r>
          </w:p>
        </w:tc>
      </w:tr>
      <w:tr>
        <w:tc>
          <w:tcPr/>
          <w:p>
            <w:pPr>
              <w:pStyle w:val="Compact"/>
              <w:jc w:val="left"/>
            </w:pPr>
            <w:r>
              <w:t xml:space="preserve">1.42</w:t>
            </w:r>
          </w:p>
        </w:tc>
        <w:tc>
          <w:tcPr/>
          <w:p>
            <w:pPr>
              <w:pStyle w:val="Compact"/>
              <w:jc w:val="left"/>
            </w:pPr>
            <w:r>
              <w:t xml:space="preserve">0.510</w:t>
            </w:r>
          </w:p>
        </w:tc>
        <w:tc>
          <w:tcPr/>
          <w:p>
            <w:pPr>
              <w:pStyle w:val="Compact"/>
              <w:jc w:val="left"/>
            </w:pPr>
            <w:r>
              <w:t xml:space="preserve">0.114</w:t>
            </w:r>
          </w:p>
        </w:tc>
        <w:tc>
          <w:tcPr/>
          <w:p>
            <w:pPr>
              <w:pStyle w:val="Compact"/>
              <w:jc w:val="left"/>
            </w:pPr>
            <w:r>
              <w:t xml:space="preserve">14.73</w:t>
            </w:r>
          </w:p>
        </w:tc>
        <w:tc>
          <w:tcPr/>
          <w:p>
            <w:pPr>
              <w:pStyle w:val="Compact"/>
              <w:jc w:val="left"/>
            </w:pPr>
            <w:r>
              <w:t xml:space="preserve">0.0001</w:t>
            </w:r>
          </w:p>
        </w:tc>
      </w:tr>
      <w:tr>
        <w:tc>
          <w:tcPr/>
          <w:p>
            <w:pPr>
              <w:pStyle w:val="Compact"/>
              <w:jc w:val="left"/>
            </w:pPr>
            <w:r>
              <w:t xml:space="preserve">2.00</w:t>
            </w:r>
          </w:p>
        </w:tc>
        <w:tc>
          <w:tcPr/>
          <w:p>
            <w:pPr>
              <w:pStyle w:val="Compact"/>
              <w:jc w:val="left"/>
            </w:pPr>
            <w:r>
              <w:t xml:space="preserve">0.510</w:t>
            </w:r>
          </w:p>
        </w:tc>
        <w:tc>
          <w:tcPr/>
          <w:p>
            <w:pPr>
              <w:pStyle w:val="Compact"/>
              <w:jc w:val="left"/>
            </w:pPr>
            <w:r>
              <w:t xml:space="preserve">0.187</w:t>
            </w:r>
          </w:p>
        </w:tc>
        <w:tc>
          <w:tcPr/>
          <w:p>
            <w:pPr>
              <w:pStyle w:val="Compact"/>
              <w:jc w:val="left"/>
            </w:pPr>
            <w:r>
              <w:t xml:space="preserve">16.14</w:t>
            </w:r>
          </w:p>
        </w:tc>
        <w:tc>
          <w:tcPr/>
          <w:p>
            <w:pPr>
              <w:pStyle w:val="Compact"/>
              <w:jc w:val="left"/>
            </w:pPr>
            <w:r>
              <w:t xml:space="preserve">5.89E-05</w:t>
            </w:r>
          </w:p>
        </w:tc>
      </w:tr>
      <w:tr>
        <w:tc>
          <w:tcPr/>
          <w:p>
            <w:pPr>
              <w:pStyle w:val="Compact"/>
              <w:jc w:val="left"/>
            </w:pPr>
            <w:r>
              <w:t xml:space="preserve">2.84</w:t>
            </w:r>
          </w:p>
        </w:tc>
        <w:tc>
          <w:tcPr/>
          <w:p>
            <w:pPr>
              <w:pStyle w:val="Compact"/>
              <w:jc w:val="left"/>
            </w:pPr>
            <w:r>
              <w:t xml:space="preserve">0.510</w:t>
            </w:r>
          </w:p>
        </w:tc>
        <w:tc>
          <w:tcPr/>
          <w:p>
            <w:pPr>
              <w:pStyle w:val="Compact"/>
              <w:jc w:val="left"/>
            </w:pPr>
            <w:r>
              <w:t xml:space="preserve">0.112</w:t>
            </w:r>
          </w:p>
        </w:tc>
        <w:tc>
          <w:tcPr/>
          <w:p>
            <w:pPr>
              <w:pStyle w:val="Compact"/>
              <w:jc w:val="left"/>
            </w:pPr>
            <w:r>
              <w:t xml:space="preserve">7.22</w:t>
            </w:r>
          </w:p>
        </w:tc>
        <w:tc>
          <w:tcPr/>
          <w:p>
            <w:pPr>
              <w:pStyle w:val="Compact"/>
              <w:jc w:val="left"/>
            </w:pPr>
            <w:r>
              <w:t xml:space="preserve">0.0072</w:t>
            </w:r>
          </w:p>
        </w:tc>
      </w:tr>
      <w:tr>
        <w:tc>
          <w:tcPr/>
          <w:p>
            <w:pPr>
              <w:pStyle w:val="Compact"/>
              <w:jc w:val="left"/>
            </w:pPr>
            <w:r>
              <w:t xml:space="preserve">3.00</w:t>
            </w:r>
          </w:p>
        </w:tc>
        <w:tc>
          <w:tcPr/>
          <w:p>
            <w:pPr>
              <w:pStyle w:val="Compact"/>
              <w:jc w:val="left"/>
            </w:pPr>
            <w:r>
              <w:t xml:space="preserve">0.510</w:t>
            </w:r>
          </w:p>
        </w:tc>
        <w:tc>
          <w:tcPr/>
          <w:p>
            <w:pPr>
              <w:pStyle w:val="Compact"/>
              <w:jc w:val="left"/>
            </w:pPr>
            <w:r>
              <w:t xml:space="preserve">0.142</w:t>
            </w:r>
          </w:p>
        </w:tc>
        <w:tc>
          <w:tcPr/>
          <w:p>
            <w:pPr>
              <w:pStyle w:val="Compact"/>
              <w:jc w:val="left"/>
            </w:pPr>
            <w:r>
              <w:t xml:space="preserve">9.00</w:t>
            </w:r>
          </w:p>
        </w:tc>
        <w:tc>
          <w:tcPr/>
          <w:p>
            <w:pPr>
              <w:pStyle w:val="Compact"/>
              <w:jc w:val="left"/>
            </w:pPr>
            <w:r>
              <w:t xml:space="preserve">0.0027</w:t>
            </w:r>
          </w:p>
        </w:tc>
      </w:tr>
      <w:tr>
        <w:tc>
          <w:tcPr/>
          <w:p>
            <w:pPr>
              <w:pStyle w:val="Compact"/>
              <w:jc w:val="left"/>
            </w:pPr>
            <w:r>
              <w:t xml:space="preserve">4.00</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9.80</w:t>
            </w:r>
          </w:p>
        </w:tc>
        <w:tc>
          <w:tcPr/>
          <w:p>
            <w:pPr>
              <w:pStyle w:val="Compact"/>
              <w:jc w:val="left"/>
            </w:pPr>
            <w:r>
              <w:t xml:space="preserve">0.0017</w:t>
            </w:r>
          </w:p>
        </w:tc>
      </w:tr>
      <w:tr>
        <w:tc>
          <w:tcPr/>
          <w:p>
            <w:pPr>
              <w:pStyle w:val="Compact"/>
              <w:jc w:val="left"/>
            </w:pPr>
            <w:r>
              <w:t xml:space="preserve">4.25</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8.50</w:t>
            </w:r>
          </w:p>
        </w:tc>
        <w:tc>
          <w:tcPr/>
          <w:p>
            <w:pPr>
              <w:pStyle w:val="Compact"/>
              <w:jc w:val="left"/>
            </w:pPr>
            <w:r>
              <w:t xml:space="preserve">0.0036</w:t>
            </w:r>
          </w:p>
        </w:tc>
      </w:tr>
    </w:tbl>
    <w:p>
      <w:pPr>
        <w:numPr>
          <w:ilvl w:val="0"/>
          <w:numId w:val="1014"/>
        </w:numPr>
        <w:pStyle w:val="Compact"/>
      </w:pPr>
      <w:r>
        <w:t xml:space="preserve">Table S4. List of top-hit SNPs at each spatial scale</w:t>
      </w:r>
    </w:p>
    <w:bookmarkEnd w:id="61"/>
    <w:bookmarkStart w:id="91" w:name="references"/>
    <w:p>
      <w:pPr>
        <w:pStyle w:val="Heading1"/>
      </w:pPr>
      <w:r>
        <w:t xml:space="preserve">References</w:t>
      </w:r>
    </w:p>
    <w:bookmarkStart w:id="90" w:name="refs"/>
    <w:bookmarkStart w:id="63"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2">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3"/>
    <w:bookmarkStart w:id="65" w:name="ref-costa_e_silva_genetic-based_2017"/>
    <w:p>
      <w:pPr>
        <w:pStyle w:val="Bibliography"/>
      </w:pPr>
      <w:r>
        <w:t xml:space="preserve">Costa e Silva, J., B. M. Potts, A. R. Gilmour, and R. J. Kerr, 2017</w:t>
      </w:r>
      <w:r>
        <w:t xml:space="preserve"> </w:t>
      </w:r>
      <w:hyperlink r:id="rId64">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65"/>
    <w:bookmarkStart w:id="67"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66">
        <w:r>
          <w:rPr>
            <w:rStyle w:val="Hyperlink"/>
          </w:rPr>
          <w:t xml:space="preserve">From cultivar mixtures to allelic mixtures: Opposite effects of allelic richness between genotypes and genotype richness in wheat</w:t>
        </w:r>
      </w:hyperlink>
      <w:r>
        <w:t xml:space="preserve">. New Phytologist 233: 2573–2584.</w:t>
      </w:r>
    </w:p>
    <w:bookmarkEnd w:id="67"/>
    <w:bookmarkStart w:id="69" w:name="ref-montazeaud_indirect_2023"/>
    <w:p>
      <w:pPr>
        <w:pStyle w:val="Bibliography"/>
      </w:pPr>
      <w:r>
        <w:t xml:space="preserve">Montazeaud, G., Q. Helleu, S. E. Wuest, and L. Keller, 2023</w:t>
      </w:r>
      <w:r>
        <w:t xml:space="preserve"> </w:t>
      </w:r>
      <w:hyperlink r:id="rId68">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69"/>
    <w:bookmarkStart w:id="71" w:name="ref-Rgaston"/>
    <w:p>
      <w:pPr>
        <w:pStyle w:val="Bibliography"/>
      </w:pPr>
      <w:r>
        <w:t xml:space="preserve">Perdry, H., and C. Dandine-Roulland, 2022</w:t>
      </w:r>
      <w:r>
        <w:t xml:space="preserve"> </w:t>
      </w:r>
      <w:hyperlink r:id="rId70">
        <w:r>
          <w:rPr>
            <w:rStyle w:val="Hyperlink"/>
            <w:iCs/>
            <w:i/>
          </w:rPr>
          <w:t xml:space="preserve">Gaston: Genetic data handling (QC, GRM, LD, PCA) &amp; linear mixed models</w:t>
        </w:r>
      </w:hyperlink>
      <w:r>
        <w:t xml:space="preserve">.</w:t>
      </w:r>
    </w:p>
    <w:bookmarkEnd w:id="71"/>
    <w:bookmarkStart w:id="73"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72">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73"/>
    <w:bookmarkStart w:id="75" w:name="ref-rodriguez-alvarez_correcting_2018"/>
    <w:p>
      <w:pPr>
        <w:pStyle w:val="Bibliography"/>
      </w:pPr>
      <w:r>
        <w:t xml:space="preserve">Rodríguez-Álvarez, M. X., M. P. Boer, F. A. van Eeuwijk, and P. H. C. Eilers, 2018</w:t>
      </w:r>
      <w:r>
        <w:t xml:space="preserve"> </w:t>
      </w:r>
      <w:hyperlink r:id="rId74">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75"/>
    <w:bookmarkStart w:id="77"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76">
        <w:r>
          <w:rPr>
            <w:rStyle w:val="Hyperlink"/>
          </w:rPr>
          <w:t xml:space="preserve">Reducing herbivory in mixed planting by genomic prediction of neighbor effects in the field</w:t>
        </w:r>
      </w:hyperlink>
      <w:r>
        <w:t xml:space="preserve">. Nature Communications 15: 8467.</w:t>
      </w:r>
    </w:p>
    <w:bookmarkEnd w:id="77"/>
    <w:bookmarkStart w:id="79" w:name="ref-sato_genetics_2024"/>
    <w:p>
      <w:pPr>
        <w:pStyle w:val="Bibliography"/>
      </w:pPr>
      <w:r>
        <w:t xml:space="preserve">Sato, Y., and S. E. Wuest, 2024</w:t>
      </w:r>
      <w:r>
        <w:t xml:space="preserve"> </w:t>
      </w:r>
      <w:hyperlink r:id="rId78">
        <w:r>
          <w:rPr>
            <w:rStyle w:val="Hyperlink"/>
          </w:rPr>
          <w:t xml:space="preserve">The genetics of plant-plant interactions and their cascading effects on agroecosystem – from model plants to application</w:t>
        </w:r>
      </w:hyperlink>
      <w:r>
        <w:t xml:space="preserve">. Plant And Cell Physiology pcae092.</w:t>
      </w:r>
    </w:p>
    <w:bookmarkEnd w:id="79"/>
    <w:bookmarkStart w:id="81" w:name="ref-sato_neighbor_2021"/>
    <w:p>
      <w:pPr>
        <w:pStyle w:val="Bibliography"/>
      </w:pPr>
      <w:r>
        <w:t xml:space="preserve">Sato, Y., E. Yamamoto, K. K. Shimizu, and A. J. Nagano, 2021</w:t>
      </w:r>
      <w:r>
        <w:t xml:space="preserve"> </w:t>
      </w:r>
      <w:hyperlink r:id="rId8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81"/>
    <w:bookmarkStart w:id="83"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82">
        <w:r>
          <w:rPr>
            <w:rStyle w:val="Hyperlink"/>
          </w:rPr>
          <w:t xml:space="preserve">Plant size, latitude, and phylogeny explain within-population variability in herbivory</w:t>
        </w:r>
      </w:hyperlink>
      <w:r>
        <w:t xml:space="preserve">. Science 382: 679–683.</w:t>
      </w:r>
    </w:p>
    <w:bookmarkEnd w:id="83"/>
    <w:bookmarkStart w:id="85" w:name="ref-tooker_genotypically_2012"/>
    <w:p>
      <w:pPr>
        <w:pStyle w:val="Bibliography"/>
      </w:pPr>
      <w:r>
        <w:t xml:space="preserve">Tooker, J. F., and S. D. Frank, 2012</w:t>
      </w:r>
      <w:r>
        <w:t xml:space="preserve"> </w:t>
      </w:r>
      <w:hyperlink r:id="rId84">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85"/>
    <w:bookmarkStart w:id="87" w:name="ref-wuest_ecological_2021"/>
    <w:p>
      <w:pPr>
        <w:pStyle w:val="Bibliography"/>
      </w:pPr>
      <w:r>
        <w:t xml:space="preserve">Wuest, S. E., R. Peter, and P. A. Niklaus, 2021</w:t>
      </w:r>
      <w:r>
        <w:t xml:space="preserve"> </w:t>
      </w:r>
      <w:hyperlink r:id="rId86">
        <w:r>
          <w:rPr>
            <w:rStyle w:val="Hyperlink"/>
          </w:rPr>
          <w:t xml:space="preserve">Ecological and evolutionary approaches to improving crop variety mixtures</w:t>
        </w:r>
      </w:hyperlink>
      <w:r>
        <w:t xml:space="preserve">. Nature Ecology &amp; Evolution 5: 1068–1077.</w:t>
      </w:r>
    </w:p>
    <w:bookmarkEnd w:id="87"/>
    <w:bookmarkStart w:id="89"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88">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89"/>
    <w:bookmarkEnd w:id="90"/>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53" Target="media/rId53.pdf" /><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6"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88" Target="https://doi.org/10.1098/rsos.230399" TargetMode="External" /><Relationship Type="http://schemas.openxmlformats.org/officeDocument/2006/relationships/hyperlink" Id="rId84"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6"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88" Target="https://doi.org/10.1098/rsos.230399" TargetMode="External" /><Relationship Type="http://schemas.openxmlformats.org/officeDocument/2006/relationships/hyperlink" Id="rId84"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2024-12-30T01:21:07Z</dcterms:created>
  <dcterms:modified xsi:type="dcterms:W3CDTF">2024-12-30T01:21:07Z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